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cs="黑体"/>
          <w:color w:val="auto"/>
          <w:kern w:val="0"/>
          <w:sz w:val="32"/>
          <w:szCs w:val="32"/>
          <w:lang w:val="en-US" w:eastAsia="zh-CN"/>
        </w:rPr>
      </w:pPr>
      <w:bookmarkStart w:id="0" w:name="_GoBack"/>
      <w:bookmarkEnd w:id="0"/>
      <w:r>
        <w:rPr>
          <w:rFonts w:hint="eastAsia" w:ascii="黑体" w:hAnsi="黑体" w:eastAsia="黑体" w:cs="黑体"/>
          <w:color w:val="auto"/>
          <w:kern w:val="0"/>
          <w:sz w:val="32"/>
          <w:szCs w:val="32"/>
          <w:lang w:val="en-US" w:eastAsia="zh-CN"/>
        </w:rPr>
        <w:t>附件6</w:t>
      </w:r>
    </w:p>
    <w:p>
      <w:pPr>
        <w:keepNext w:val="0"/>
        <w:keepLines w:val="0"/>
        <w:pageBreakBefore w:val="0"/>
        <w:kinsoku/>
        <w:wordWrap/>
        <w:overflowPunct/>
        <w:topLinePunct w:val="0"/>
        <w:autoSpaceDE/>
        <w:autoSpaceDN/>
        <w:bidi w:val="0"/>
        <w:adjustRightInd/>
        <w:snapToGrid/>
        <w:spacing w:line="560" w:lineRule="exact"/>
        <w:ind w:left="0"/>
        <w:jc w:val="center"/>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沈阳市农村科技</w:t>
      </w:r>
      <w:r>
        <w:rPr>
          <w:rFonts w:ascii="方正小标宋简体" w:hAnsi="方正小标宋简体" w:eastAsia="方正小标宋简体" w:cs="方正小标宋简体"/>
          <w:color w:val="auto"/>
          <w:sz w:val="44"/>
          <w:szCs w:val="44"/>
        </w:rPr>
        <w:t>特派</w:t>
      </w:r>
      <w:r>
        <w:rPr>
          <w:rFonts w:hint="eastAsia" w:ascii="方正小标宋简体" w:hAnsi="方正小标宋简体" w:eastAsia="方正小标宋简体" w:cs="方正小标宋简体"/>
          <w:color w:val="auto"/>
          <w:sz w:val="44"/>
          <w:szCs w:val="44"/>
        </w:rPr>
        <w:t>团</w:t>
      </w:r>
      <w:r>
        <w:rPr>
          <w:rFonts w:hint="eastAsia" w:ascii="方正小标宋简体" w:hAnsi="方正小标宋简体" w:eastAsia="方正小标宋简体" w:cs="方正小标宋简体"/>
          <w:color w:val="auto"/>
          <w:sz w:val="44"/>
          <w:szCs w:val="44"/>
          <w:lang w:eastAsia="zh-CN"/>
        </w:rPr>
        <w:t>科技</w:t>
      </w:r>
      <w:r>
        <w:rPr>
          <w:rFonts w:hint="eastAsia" w:ascii="方正小标宋简体" w:hAnsi="方正小标宋简体" w:eastAsia="方正小标宋简体" w:cs="方正小标宋简体"/>
          <w:color w:val="auto"/>
          <w:sz w:val="44"/>
          <w:szCs w:val="44"/>
        </w:rPr>
        <w:t>专项申报</w:t>
      </w:r>
      <w:r>
        <w:rPr>
          <w:rFonts w:ascii="方正小标宋简体" w:hAnsi="方正小标宋简体" w:eastAsia="方正小标宋简体" w:cs="方正小标宋简体"/>
          <w:color w:val="auto"/>
          <w:sz w:val="44"/>
          <w:szCs w:val="44"/>
        </w:rPr>
        <w:t>指南</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ascii="仿宋" w:hAnsi="仿宋" w:eastAsia="仿宋" w:cs="仿宋"/>
          <w:color w:val="auto"/>
          <w:kern w:val="0"/>
          <w:sz w:val="32"/>
          <w:szCs w:val="32"/>
        </w:rPr>
      </w:pPr>
    </w:p>
    <w:p>
      <w:pPr>
        <w:keepNext w:val="0"/>
        <w:keepLines w:val="0"/>
        <w:numPr>
          <w:ilvl w:val="0"/>
          <w:numId w:val="1"/>
        </w:numPr>
        <w:kinsoku/>
        <w:wordWrap/>
        <w:overflowPunct/>
        <w:topLinePunct w:val="0"/>
        <w:autoSpaceDE/>
        <w:autoSpaceDN/>
        <w:bidi w:val="0"/>
        <w:adjustRightInd/>
        <w:snapToGrid/>
        <w:spacing w:line="560" w:lineRule="exact"/>
        <w:ind w:left="0" w:firstLine="632" w:firstLineChars="200"/>
        <w:rPr>
          <w:rFonts w:hint="eastAsia" w:ascii="黑体" w:hAnsi="黑体" w:eastAsia="黑体" w:cs="Arial"/>
          <w:kern w:val="0"/>
          <w:sz w:val="32"/>
          <w:szCs w:val="32"/>
          <w:lang w:eastAsia="zh-CN"/>
        </w:rPr>
      </w:pPr>
      <w:r>
        <w:rPr>
          <w:rFonts w:hint="eastAsia" w:ascii="黑体" w:hAnsi="黑体" w:eastAsia="黑体" w:cs="Arial"/>
          <w:kern w:val="0"/>
          <w:sz w:val="32"/>
          <w:szCs w:val="32"/>
          <w:lang w:eastAsia="zh-CN"/>
        </w:rPr>
        <w:t>支持方向</w:t>
      </w:r>
    </w:p>
    <w:p>
      <w:pPr>
        <w:keepNext w:val="0"/>
        <w:keepLines w:val="0"/>
        <w:kinsoku/>
        <w:wordWrap/>
        <w:overflowPunct/>
        <w:topLinePunct w:val="0"/>
        <w:autoSpaceDE/>
        <w:autoSpaceDN/>
        <w:bidi w:val="0"/>
        <w:adjustRightInd/>
        <w:snapToGrid/>
        <w:spacing w:line="560" w:lineRule="exact"/>
        <w:ind w:left="0" w:firstLine="632" w:firstLineChars="200"/>
        <w:rPr>
          <w:rFonts w:hint="eastAsia"/>
          <w:lang w:eastAsia="zh-CN"/>
        </w:rPr>
      </w:pPr>
      <w:r>
        <w:rPr>
          <w:rFonts w:hint="eastAsia" w:ascii="仿宋_GB2312" w:hAnsi="仿宋_GB2312" w:eastAsia="仿宋_GB2312" w:cs="仿宋_GB2312"/>
          <w:color w:val="333333"/>
          <w:kern w:val="0"/>
          <w:sz w:val="32"/>
          <w:szCs w:val="32"/>
          <w:lang w:eastAsia="zh-CN"/>
        </w:rPr>
        <w:t>围绕</w:t>
      </w:r>
      <w:r>
        <w:rPr>
          <w:rFonts w:hint="eastAsia" w:ascii="仿宋_GB2312" w:hAnsi="仿宋_GB2312" w:eastAsia="仿宋_GB2312" w:cs="仿宋_GB2312"/>
          <w:color w:val="auto"/>
          <w:sz w:val="32"/>
          <w:szCs w:val="32"/>
          <w:lang w:eastAsia="zh-CN"/>
        </w:rPr>
        <w:t>粮食、油料、</w:t>
      </w:r>
      <w:r>
        <w:rPr>
          <w:rFonts w:hint="eastAsia" w:ascii="仿宋_GB2312" w:hAnsi="仿宋_GB2312" w:eastAsia="仿宋_GB2312" w:cs="仿宋_GB2312"/>
          <w:color w:val="auto"/>
          <w:sz w:val="32"/>
          <w:szCs w:val="32"/>
        </w:rPr>
        <w:t>蔬菜、</w:t>
      </w:r>
      <w:r>
        <w:rPr>
          <w:rFonts w:hint="eastAsia" w:ascii="仿宋_GB2312" w:hAnsi="仿宋_GB2312" w:eastAsia="仿宋_GB2312" w:cs="仿宋_GB2312"/>
          <w:color w:val="auto"/>
          <w:sz w:val="32"/>
          <w:szCs w:val="32"/>
          <w:lang w:eastAsia="zh-CN"/>
        </w:rPr>
        <w:t>果树、畜禽、水产、</w:t>
      </w:r>
      <w:r>
        <w:rPr>
          <w:rFonts w:hint="eastAsia" w:ascii="仿宋_GB2312" w:hAnsi="仿宋_GB2312" w:eastAsia="仿宋_GB2312" w:cs="仿宋_GB2312"/>
          <w:color w:val="auto"/>
          <w:sz w:val="32"/>
          <w:szCs w:val="32"/>
        </w:rPr>
        <w:t>食用菌、</w:t>
      </w:r>
      <w:r>
        <w:rPr>
          <w:rFonts w:hint="eastAsia" w:ascii="仿宋_GB2312" w:hAnsi="仿宋_GB2312" w:eastAsia="仿宋_GB2312" w:cs="仿宋_GB2312"/>
          <w:color w:val="auto"/>
          <w:sz w:val="32"/>
          <w:szCs w:val="32"/>
          <w:lang w:eastAsia="zh-CN"/>
        </w:rPr>
        <w:t>中药材</w:t>
      </w:r>
      <w:r>
        <w:rPr>
          <w:rFonts w:hint="eastAsia" w:ascii="仿宋_GB2312" w:hAnsi="仿宋_GB2312" w:eastAsia="仿宋_GB2312" w:cs="仿宋_GB2312"/>
          <w:color w:val="auto"/>
          <w:sz w:val="32"/>
          <w:szCs w:val="32"/>
        </w:rPr>
        <w:t>、农机、</w:t>
      </w:r>
      <w:r>
        <w:rPr>
          <w:rFonts w:hint="eastAsia" w:ascii="仿宋_GB2312" w:hAnsi="仿宋_GB2312" w:eastAsia="仿宋_GB2312" w:cs="仿宋_GB2312"/>
          <w:color w:val="auto"/>
          <w:sz w:val="32"/>
          <w:szCs w:val="32"/>
          <w:lang w:eastAsia="zh-CN"/>
        </w:rPr>
        <w:t>食品加工</w:t>
      </w:r>
      <w:r>
        <w:rPr>
          <w:rFonts w:hint="eastAsia" w:ascii="仿宋_GB2312" w:hAnsi="仿宋_GB2312" w:eastAsia="仿宋_GB2312" w:cs="仿宋_GB2312"/>
          <w:color w:val="auto"/>
          <w:sz w:val="32"/>
          <w:szCs w:val="32"/>
        </w:rPr>
        <w:t>、流通等</w:t>
      </w:r>
      <w:r>
        <w:rPr>
          <w:rFonts w:ascii="仿宋_GB2312" w:hAnsi="仿宋_GB2312" w:eastAsia="仿宋_GB2312" w:cs="仿宋_GB2312"/>
          <w:sz w:val="32"/>
          <w:szCs w:val="32"/>
        </w:rPr>
        <w:t>产业结构调整</w:t>
      </w:r>
      <w:r>
        <w:rPr>
          <w:rFonts w:hint="eastAsia" w:ascii="仿宋_GB2312" w:hAnsi="仿宋_GB2312" w:eastAsia="仿宋_GB2312" w:cs="仿宋_GB2312"/>
          <w:sz w:val="32"/>
          <w:szCs w:val="32"/>
        </w:rPr>
        <w:t>重点领域</w:t>
      </w:r>
      <w:r>
        <w:rPr>
          <w:rFonts w:hint="eastAsia" w:ascii="仿宋_GB2312" w:hAnsi="仿宋_GB2312" w:eastAsia="仿宋_GB2312" w:cs="仿宋_GB2312"/>
          <w:sz w:val="32"/>
          <w:szCs w:val="32"/>
          <w:lang w:eastAsia="zh-CN"/>
        </w:rPr>
        <w:t>以</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垃圾处理、村屯绿化、秸杆等废弃物利用、厕所改造等民生领域</w:t>
      </w:r>
      <w:r>
        <w:rPr>
          <w:rFonts w:hint="eastAsia" w:ascii="仿宋_GB2312" w:hAnsi="仿宋_GB2312" w:eastAsia="仿宋_GB2312" w:cs="仿宋_GB2312"/>
          <w:kern w:val="0"/>
          <w:sz w:val="32"/>
          <w:szCs w:val="32"/>
        </w:rPr>
        <w:t>组建农村科技特派团。</w:t>
      </w:r>
    </w:p>
    <w:p>
      <w:pPr>
        <w:keepNext w:val="0"/>
        <w:keepLines w:val="0"/>
        <w:kinsoku/>
        <w:wordWrap/>
        <w:overflowPunct/>
        <w:topLinePunct w:val="0"/>
        <w:autoSpaceDE/>
        <w:autoSpaceDN/>
        <w:bidi w:val="0"/>
        <w:adjustRightInd/>
        <w:snapToGrid/>
        <w:spacing w:line="560" w:lineRule="exact"/>
        <w:ind w:left="0" w:firstLine="632" w:firstLineChars="200"/>
        <w:rPr>
          <w:rFonts w:ascii="黑体" w:hAnsi="黑体" w:eastAsia="黑体" w:cs="Arial"/>
          <w:kern w:val="0"/>
          <w:sz w:val="32"/>
          <w:szCs w:val="32"/>
        </w:rPr>
      </w:pPr>
      <w:r>
        <w:rPr>
          <w:rFonts w:hint="eastAsia" w:ascii="黑体" w:hAnsi="黑体" w:eastAsia="黑体" w:cs="Arial"/>
          <w:kern w:val="0"/>
          <w:sz w:val="32"/>
          <w:szCs w:val="32"/>
          <w:lang w:eastAsia="zh-CN"/>
        </w:rPr>
        <w:t>二</w:t>
      </w:r>
      <w:r>
        <w:rPr>
          <w:rFonts w:hint="eastAsia" w:ascii="黑体" w:hAnsi="黑体" w:eastAsia="黑体" w:cs="Arial"/>
          <w:kern w:val="0"/>
          <w:sz w:val="32"/>
          <w:szCs w:val="32"/>
        </w:rPr>
        <w:t>、支持对象</w:t>
      </w:r>
    </w:p>
    <w:p>
      <w:pPr>
        <w:keepNext w:val="0"/>
        <w:keepLines w:val="0"/>
        <w:kinsoku/>
        <w:wordWrap/>
        <w:overflowPunct/>
        <w:topLinePunct w:val="0"/>
        <w:autoSpaceDE/>
        <w:autoSpaceDN/>
        <w:bidi w:val="0"/>
        <w:adjustRightInd/>
        <w:snapToGrid/>
        <w:spacing w:line="560" w:lineRule="exact"/>
        <w:ind w:left="0"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驻沈具有较强科研实力、能够有效服务县域农业产业、民生工作的高校院所和其他事业法人单位。</w:t>
      </w:r>
    </w:p>
    <w:p>
      <w:pPr>
        <w:keepNext w:val="0"/>
        <w:keepLines w:val="0"/>
        <w:kinsoku/>
        <w:wordWrap/>
        <w:overflowPunct/>
        <w:topLinePunct w:val="0"/>
        <w:autoSpaceDE/>
        <w:autoSpaceDN/>
        <w:bidi w:val="0"/>
        <w:adjustRightInd/>
        <w:snapToGrid/>
        <w:spacing w:line="560" w:lineRule="exact"/>
        <w:ind w:left="0" w:firstLine="632" w:firstLineChars="200"/>
        <w:rPr>
          <w:rFonts w:ascii="黑体" w:hAnsi="黑体" w:eastAsia="黑体" w:cs="Arial"/>
          <w:kern w:val="0"/>
          <w:sz w:val="32"/>
          <w:szCs w:val="32"/>
        </w:rPr>
      </w:pPr>
      <w:r>
        <w:rPr>
          <w:rFonts w:hint="eastAsia" w:ascii="黑体" w:hAnsi="黑体" w:eastAsia="黑体" w:cs="Arial"/>
          <w:kern w:val="0"/>
          <w:sz w:val="32"/>
          <w:szCs w:val="32"/>
          <w:lang w:eastAsia="zh-CN"/>
        </w:rPr>
        <w:t>三</w:t>
      </w:r>
      <w:r>
        <w:rPr>
          <w:rFonts w:ascii="黑体" w:hAnsi="黑体" w:eastAsia="黑体" w:cs="Arial"/>
          <w:kern w:val="0"/>
          <w:sz w:val="32"/>
          <w:szCs w:val="32"/>
        </w:rPr>
        <w:t>、支持方式</w:t>
      </w:r>
    </w:p>
    <w:p>
      <w:pPr>
        <w:keepNext w:val="0"/>
        <w:keepLines w:val="0"/>
        <w:kinsoku/>
        <w:wordWrap/>
        <w:overflowPunct/>
        <w:topLinePunct w:val="0"/>
        <w:autoSpaceDE/>
        <w:autoSpaceDN/>
        <w:bidi w:val="0"/>
        <w:adjustRightInd/>
        <w:snapToGrid/>
        <w:spacing w:line="560" w:lineRule="exact"/>
        <w:ind w:left="0"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该专项项目采取前资助的支持方式，每个科技特派团10万元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按照“包干制”管理</w:t>
      </w:r>
      <w:r>
        <w:rPr>
          <w:rFonts w:hint="eastAsia" w:ascii="仿宋_GB2312" w:hAnsi="仿宋_GB2312" w:eastAsia="仿宋_GB2312" w:cs="仿宋_GB2312"/>
          <w:kern w:val="0"/>
          <w:sz w:val="32"/>
          <w:szCs w:val="32"/>
        </w:rPr>
        <w:t>。</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黑体" w:hAnsi="黑体" w:eastAsia="黑体" w:cs="Arial"/>
          <w:kern w:val="0"/>
          <w:sz w:val="32"/>
          <w:szCs w:val="32"/>
          <w:lang w:eastAsia="zh-CN"/>
        </w:rPr>
      </w:pPr>
      <w:r>
        <w:rPr>
          <w:rFonts w:hint="eastAsia" w:ascii="黑体" w:hAnsi="黑体" w:eastAsia="黑体" w:cs="Arial"/>
          <w:kern w:val="0"/>
          <w:sz w:val="32"/>
          <w:szCs w:val="32"/>
          <w:lang w:eastAsia="zh-CN"/>
        </w:rPr>
        <w:t>四</w:t>
      </w:r>
      <w:r>
        <w:rPr>
          <w:rFonts w:ascii="黑体" w:hAnsi="黑体" w:eastAsia="黑体" w:cs="Arial"/>
          <w:kern w:val="0"/>
          <w:sz w:val="32"/>
          <w:szCs w:val="32"/>
        </w:rPr>
        <w:t>、</w:t>
      </w:r>
      <w:r>
        <w:rPr>
          <w:rFonts w:hint="eastAsia" w:ascii="黑体" w:hAnsi="黑体" w:eastAsia="黑体" w:cs="Arial"/>
          <w:kern w:val="0"/>
          <w:sz w:val="32"/>
          <w:szCs w:val="32"/>
          <w:lang w:eastAsia="zh-CN"/>
        </w:rPr>
        <w:t>申报要求</w:t>
      </w:r>
    </w:p>
    <w:p>
      <w:pPr>
        <w:keepNext w:val="0"/>
        <w:keepLines w:val="0"/>
        <w:kinsoku/>
        <w:wordWrap/>
        <w:overflowPunct/>
        <w:topLinePunct w:val="0"/>
        <w:autoSpaceDE/>
        <w:autoSpaceDN/>
        <w:bidi w:val="0"/>
        <w:adjustRightInd/>
        <w:snapToGrid/>
        <w:spacing w:line="560" w:lineRule="exact"/>
        <w:ind w:left="0" w:firstLine="632" w:firstLineChars="200"/>
        <w:rPr>
          <w:rFonts w:ascii="仿宋" w:hAnsi="仿宋" w:eastAsia="仿宋" w:cs="Arial"/>
          <w:kern w:val="0"/>
          <w:sz w:val="32"/>
          <w:szCs w:val="32"/>
        </w:rPr>
      </w:pPr>
      <w:r>
        <w:rPr>
          <w:rFonts w:hint="eastAsia" w:ascii="仿宋_GB2312" w:hAnsi="仿宋_GB2312" w:eastAsia="仿宋_GB2312" w:cs="仿宋_GB2312"/>
          <w:kern w:val="0"/>
          <w:sz w:val="32"/>
          <w:szCs w:val="32"/>
        </w:rPr>
        <w:t>每个科技特派团</w:t>
      </w:r>
      <w:r>
        <w:rPr>
          <w:rFonts w:hint="eastAsia" w:ascii="仿宋_GB2312" w:hAnsi="仿宋_GB2312" w:eastAsia="仿宋_GB2312" w:cs="仿宋_GB2312"/>
          <w:kern w:val="0"/>
          <w:sz w:val="32"/>
          <w:szCs w:val="32"/>
          <w:lang w:eastAsia="zh-CN"/>
        </w:rPr>
        <w:t>须与</w:t>
      </w:r>
      <w:r>
        <w:rPr>
          <w:rFonts w:hint="eastAsia" w:ascii="仿宋_GB2312" w:hAnsi="仿宋_GB2312" w:eastAsia="仿宋_GB2312" w:cs="仿宋_GB2312"/>
          <w:kern w:val="0"/>
          <w:sz w:val="32"/>
          <w:szCs w:val="32"/>
        </w:rPr>
        <w:t>服务所在区</w:t>
      </w:r>
      <w:r>
        <w:rPr>
          <w:rFonts w:hint="eastAsia" w:ascii="仿宋_GB2312" w:hAnsi="仿宋_GB2312" w:eastAsia="仿宋_GB2312" w:cs="仿宋_GB2312"/>
          <w:kern w:val="0"/>
          <w:sz w:val="32"/>
          <w:szCs w:val="32"/>
          <w:lang w:eastAsia="zh-CN"/>
        </w:rPr>
        <w:t>县（市）</w:t>
      </w:r>
      <w:r>
        <w:rPr>
          <w:rFonts w:hint="eastAsia" w:ascii="仿宋_GB2312" w:hAnsi="仿宋_GB2312" w:eastAsia="仿宋_GB2312" w:cs="仿宋_GB2312"/>
          <w:kern w:val="0"/>
          <w:sz w:val="32"/>
          <w:szCs w:val="32"/>
        </w:rPr>
        <w:t>科技管理部门签订技术服务协议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约定服务内容、服务方式和绩效考核指标等。原则上全团项目周期内服务于基层一线应不少于50人次。</w:t>
      </w:r>
    </w:p>
    <w:p>
      <w:pPr>
        <w:keepNext w:val="0"/>
        <w:keepLines w:val="0"/>
        <w:kinsoku/>
        <w:wordWrap/>
        <w:overflowPunct/>
        <w:topLinePunct w:val="0"/>
        <w:autoSpaceDE/>
        <w:autoSpaceDN/>
        <w:bidi w:val="0"/>
        <w:adjustRightInd/>
        <w:snapToGrid/>
        <w:spacing w:line="560" w:lineRule="exact"/>
        <w:ind w:left="0"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本计划项目除满足《</w:t>
      </w:r>
      <w:r>
        <w:rPr>
          <w:rFonts w:hint="eastAsia" w:ascii="仿宋_GB2312" w:hAnsi="仿宋_GB2312" w:eastAsia="仿宋_GB2312" w:cs="仿宋_GB2312"/>
          <w:sz w:val="32"/>
          <w:szCs w:val="32"/>
        </w:rPr>
        <w:t>沈阳市</w:t>
      </w:r>
      <w:r>
        <w:rPr>
          <w:rFonts w:hint="eastAsia" w:ascii="仿宋_GB2312" w:hAnsi="仿宋_GB2312" w:eastAsia="仿宋_GB2312" w:cs="仿宋_GB2312"/>
          <w:sz w:val="32"/>
          <w:szCs w:val="32"/>
          <w:lang w:eastAsia="zh-CN"/>
        </w:rPr>
        <w:t>农村科技特派团</w:t>
      </w:r>
      <w:r>
        <w:rPr>
          <w:rFonts w:hint="eastAsia" w:ascii="仿宋_GB2312" w:hAnsi="仿宋_GB2312" w:eastAsia="仿宋_GB2312" w:cs="仿宋_GB2312"/>
          <w:sz w:val="32"/>
          <w:szCs w:val="32"/>
        </w:rPr>
        <w:t>科技专项实施细则</w:t>
      </w:r>
      <w:r>
        <w:rPr>
          <w:rFonts w:hint="eastAsia" w:ascii="仿宋_GB2312" w:hAnsi="仿宋_GB2312" w:eastAsia="仿宋_GB2312" w:cs="仿宋_GB2312"/>
          <w:kern w:val="0"/>
          <w:sz w:val="32"/>
          <w:szCs w:val="32"/>
        </w:rPr>
        <w:t>》的基本条件和要求外，围绕在前期技术需求征集基础上形成的科技特派团申报指引范围进行申报。同时，还应满足以下条件：</w:t>
      </w:r>
    </w:p>
    <w:p>
      <w:pPr>
        <w:pStyle w:val="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未作为项目负责人承担在研的沈阳市科技</w:t>
      </w:r>
      <w:r>
        <w:rPr>
          <w:rFonts w:hint="eastAsia" w:ascii="仿宋_GB2312" w:hAnsi="仿宋_GB2312" w:eastAsia="仿宋_GB2312" w:cs="仿宋_GB2312"/>
          <w:kern w:val="0"/>
          <w:sz w:val="32"/>
          <w:szCs w:val="32"/>
          <w:lang w:eastAsia="zh-CN"/>
        </w:rPr>
        <w:t>计划</w:t>
      </w:r>
      <w:r>
        <w:rPr>
          <w:rFonts w:hint="eastAsia" w:ascii="仿宋_GB2312" w:hAnsi="仿宋_GB2312" w:eastAsia="仿宋_GB2312" w:cs="仿宋_GB2312"/>
          <w:kern w:val="0"/>
          <w:sz w:val="32"/>
          <w:szCs w:val="32"/>
        </w:rPr>
        <w:t>项目。</w:t>
      </w:r>
    </w:p>
    <w:p>
      <w:pPr>
        <w:pStyle w:val="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每个科技特派团成员应不少于10人。每个科技特派团须向服务区域内技术和服务需求相关的企业、合作社派驻1-2个科技特派组，每个特派组为2-3人。</w:t>
      </w:r>
    </w:p>
    <w:p>
      <w:pPr>
        <w:pStyle w:val="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项目申报单位、项目参与单位以及项目团队成员诚信状况良好，无不良科研失信记录。涉及从事动物等实验研究领域的，无违反科技伦理规范。</w:t>
      </w:r>
    </w:p>
    <w:p>
      <w:pPr>
        <w:pStyle w:val="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五、考核重点</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1.技术指标：包括解决的关键技术问题，形成的新技术、新工艺、新产品、新标准等。</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2.社会效益指标：包括</w:t>
      </w:r>
      <w:r>
        <w:rPr>
          <w:rFonts w:hint="eastAsia" w:ascii="仿宋_GB2312" w:hAnsi="仿宋_GB2312" w:eastAsia="仿宋_GB2312" w:cs="仿宋_GB2312"/>
          <w:color w:val="auto"/>
          <w:sz w:val="32"/>
          <w:szCs w:val="32"/>
        </w:rPr>
        <w:t>农业科技成果的转化</w:t>
      </w:r>
      <w:r>
        <w:rPr>
          <w:rFonts w:hint="eastAsia" w:ascii="仿宋_GB2312" w:hAnsi="仿宋_GB2312" w:eastAsia="仿宋_GB2312" w:cs="仿宋_GB2312"/>
          <w:color w:val="auto"/>
          <w:sz w:val="32"/>
          <w:szCs w:val="32"/>
          <w:lang w:eastAsia="zh-CN"/>
        </w:rPr>
        <w:t>和推广、</w:t>
      </w:r>
      <w:r>
        <w:rPr>
          <w:rFonts w:hint="default" w:ascii="仿宋_GB2312" w:hAnsi="仿宋_GB2312" w:eastAsia="仿宋_GB2312" w:cs="仿宋_GB2312"/>
          <w:color w:val="auto"/>
          <w:sz w:val="32"/>
          <w:szCs w:val="32"/>
          <w:lang w:val="en" w:eastAsia="zh-CN"/>
        </w:rPr>
        <w:t>科技培训与技术指导、</w:t>
      </w:r>
      <w:r>
        <w:rPr>
          <w:rFonts w:hint="eastAsia" w:ascii="仿宋_GB2312" w:hAnsi="仿宋_GB2312" w:eastAsia="仿宋_GB2312" w:cs="仿宋_GB2312"/>
          <w:i w:val="0"/>
          <w:color w:val="auto"/>
          <w:kern w:val="0"/>
          <w:sz w:val="32"/>
          <w:szCs w:val="32"/>
          <w:u w:val="none"/>
          <w:lang w:val="en-US" w:eastAsia="zh-CN" w:bidi="ar"/>
        </w:rPr>
        <w:t>服务农民数（户）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i w:val="0"/>
          <w:color w:val="auto"/>
          <w:kern w:val="0"/>
          <w:sz w:val="32"/>
          <w:szCs w:val="32"/>
          <w:u w:val="none"/>
          <w:lang w:val="en-US" w:eastAsia="zh-CN" w:bidi="ar"/>
        </w:rPr>
        <w:t>增收农民数（户）等。</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3.成果指标：包括引进新品种、指导新技术等应用情况。</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黑体" w:hAnsi="黑体" w:eastAsia="黑体" w:cs="Arial"/>
          <w:kern w:val="0"/>
          <w:sz w:val="32"/>
          <w:szCs w:val="32"/>
          <w:lang w:val="en-US" w:eastAsia="zh-CN"/>
        </w:rPr>
      </w:pPr>
      <w:r>
        <w:rPr>
          <w:rFonts w:hint="eastAsia" w:ascii="黑体" w:hAnsi="黑体" w:eastAsia="黑体" w:cs="Arial"/>
          <w:kern w:val="0"/>
          <w:sz w:val="32"/>
          <w:szCs w:val="32"/>
          <w:lang w:eastAsia="zh-CN"/>
        </w:rPr>
        <w:t>六</w:t>
      </w:r>
      <w:r>
        <w:rPr>
          <w:rFonts w:ascii="黑体" w:hAnsi="黑体" w:eastAsia="黑体" w:cs="Arial"/>
          <w:kern w:val="0"/>
          <w:sz w:val="32"/>
          <w:szCs w:val="32"/>
        </w:rPr>
        <w:t>、</w:t>
      </w:r>
      <w:r>
        <w:rPr>
          <w:rFonts w:hint="eastAsia" w:ascii="黑体" w:hAnsi="黑体" w:eastAsia="黑体" w:cs="Arial"/>
          <w:kern w:val="0"/>
          <w:sz w:val="32"/>
          <w:szCs w:val="32"/>
        </w:rPr>
        <w:t>申报</w:t>
      </w:r>
      <w:r>
        <w:rPr>
          <w:rFonts w:hint="eastAsia" w:ascii="黑体" w:hAnsi="黑体" w:eastAsia="黑体" w:cs="Arial"/>
          <w:kern w:val="0"/>
          <w:sz w:val="32"/>
          <w:szCs w:val="32"/>
          <w:lang w:val="en-US" w:eastAsia="zh-CN"/>
        </w:rPr>
        <w:t>方式</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（一）项目申报单位登录沈阳市科技创新管理平台，进入“科技计划项目—项目申报”模块进行在线填报，计划类别选择“202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年度沈阳市科学技术计划”，</w:t>
      </w:r>
      <w:r>
        <w:rPr>
          <w:rFonts w:hint="eastAsia" w:ascii="仿宋_GB2312" w:hAnsi="仿宋_GB2312" w:eastAsia="仿宋_GB2312" w:cs="仿宋_GB2312"/>
          <w:sz w:val="32"/>
          <w:szCs w:val="32"/>
          <w:lang w:eastAsia="zh-CN"/>
        </w:rPr>
        <w:t>专项类别</w:t>
      </w:r>
      <w:r>
        <w:rPr>
          <w:rFonts w:hint="eastAsia" w:ascii="仿宋_GB2312" w:hAnsi="仿宋_GB2312" w:eastAsia="仿宋_GB2312" w:cs="仿宋_GB2312"/>
          <w:sz w:val="32"/>
          <w:szCs w:val="32"/>
        </w:rPr>
        <w:t>选择“农村科技特派团专项”，</w:t>
      </w:r>
      <w:r>
        <w:rPr>
          <w:rFonts w:hint="eastAsia" w:ascii="仿宋_GB2312" w:hAnsi="仿宋_GB2312" w:eastAsia="仿宋_GB2312" w:cs="仿宋_GB2312"/>
          <w:sz w:val="32"/>
          <w:szCs w:val="32"/>
          <w:lang w:eastAsia="zh-CN"/>
        </w:rPr>
        <w:t>资助类别</w:t>
      </w:r>
      <w:r>
        <w:rPr>
          <w:rFonts w:hint="eastAsia" w:ascii="仿宋_GB2312" w:hAnsi="仿宋_GB2312" w:eastAsia="仿宋_GB2312" w:cs="仿宋_GB2312"/>
          <w:sz w:val="32"/>
          <w:szCs w:val="32"/>
        </w:rPr>
        <w:t>请选择“前资助”，</w:t>
      </w:r>
      <w:r>
        <w:rPr>
          <w:rFonts w:hint="eastAsia" w:ascii="仿宋_GB2312" w:hAnsi="仿宋_GB2312" w:eastAsia="仿宋_GB2312" w:cs="仿宋_GB2312"/>
          <w:sz w:val="32"/>
          <w:szCs w:val="32"/>
          <w:lang w:eastAsia="zh-CN"/>
        </w:rPr>
        <w:t>管理类别</w:t>
      </w:r>
      <w:r>
        <w:rPr>
          <w:rFonts w:hint="eastAsia" w:ascii="仿宋_GB2312" w:hAnsi="仿宋_GB2312" w:eastAsia="仿宋_GB2312" w:cs="仿宋_GB2312"/>
          <w:sz w:val="32"/>
          <w:szCs w:val="32"/>
        </w:rPr>
        <w:t>选择“农村处”。</w:t>
      </w:r>
    </w:p>
    <w:p>
      <w:pPr>
        <w:pStyle w:val="4"/>
        <w:keepNext w:val="0"/>
        <w:keepLines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right="0"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（二）申报项目名称请规范填写“XXX县（区、市）XX产业科技特派团”。</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（三）申报单位须通过“附件”上传以下要件：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1.项目申报承诺书；</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.科技特派团与服务所在区</w:t>
      </w:r>
      <w:r>
        <w:rPr>
          <w:rFonts w:hint="eastAsia" w:ascii="仿宋_GB2312" w:hAnsi="仿宋_GB2312" w:eastAsia="仿宋_GB2312" w:cs="仿宋_GB2312"/>
          <w:kern w:val="0"/>
          <w:sz w:val="32"/>
          <w:szCs w:val="32"/>
          <w:lang w:eastAsia="zh-CN"/>
        </w:rPr>
        <w:t>县（市）</w:t>
      </w:r>
      <w:r>
        <w:rPr>
          <w:rFonts w:hint="eastAsia" w:ascii="仿宋_GB2312" w:hAnsi="仿宋_GB2312" w:eastAsia="仿宋_GB2312" w:cs="仿宋_GB2312"/>
          <w:kern w:val="0"/>
          <w:sz w:val="32"/>
          <w:szCs w:val="32"/>
        </w:rPr>
        <w:t>科技管理部门签订的服务协议；</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.科技特派团技术服务工作方案；</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.科技特派团成员技术成果证明材料</w:t>
      </w:r>
      <w:r>
        <w:rPr>
          <w:rFonts w:hint="eastAsia" w:ascii="仿宋_GB2312" w:hAnsi="仿宋_GB2312" w:eastAsia="仿宋_GB2312" w:cs="仿宋_GB2312"/>
          <w:kern w:val="0"/>
          <w:sz w:val="32"/>
          <w:szCs w:val="32"/>
          <w:lang w:eastAsia="zh-CN"/>
        </w:rPr>
        <w:t>。</w:t>
      </w:r>
    </w:p>
    <w:p>
      <w:pPr>
        <w:keepNext w:val="0"/>
        <w:keepLines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（四）本计划项目实施</w:t>
      </w:r>
      <w:r>
        <w:rPr>
          <w:rFonts w:hint="eastAsia" w:ascii="仿宋_GB2312" w:hAnsi="仿宋_GB2312" w:eastAsia="仿宋_GB2312" w:cs="仿宋_GB2312"/>
          <w:kern w:val="0"/>
          <w:sz w:val="32"/>
          <w:szCs w:val="32"/>
          <w:lang w:eastAsia="zh-CN"/>
        </w:rPr>
        <w:t>周</w:t>
      </w:r>
      <w:r>
        <w:rPr>
          <w:rFonts w:hint="eastAsia" w:ascii="仿宋_GB2312" w:hAnsi="仿宋_GB2312" w:eastAsia="仿宋_GB2312" w:cs="仿宋_GB2312"/>
          <w:kern w:val="0"/>
          <w:sz w:val="32"/>
          <w:szCs w:val="32"/>
        </w:rPr>
        <w:t>期为2年。</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lang w:eastAsia="zh-CN"/>
        </w:rPr>
        <w:t>七</w:t>
      </w:r>
      <w:r>
        <w:rPr>
          <w:rFonts w:hint="eastAsia" w:ascii="黑体" w:hAnsi="黑体" w:eastAsia="黑体" w:cs="Arial"/>
          <w:color w:val="auto"/>
          <w:kern w:val="0"/>
          <w:sz w:val="32"/>
          <w:szCs w:val="32"/>
        </w:rPr>
        <w:t>、联系方式</w:t>
      </w:r>
    </w:p>
    <w:p>
      <w:pPr>
        <w:keepNext w:val="0"/>
        <w:keepLines w:val="0"/>
        <w:pageBreakBefore w:val="0"/>
        <w:kinsoku/>
        <w:wordWrap/>
        <w:overflowPunct/>
        <w:topLinePunct w:val="0"/>
        <w:autoSpaceDE/>
        <w:autoSpaceDN/>
        <w:bidi w:val="0"/>
        <w:adjustRightInd/>
        <w:snapToGrid/>
        <w:spacing w:line="560" w:lineRule="exact"/>
        <w:ind w:left="0"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市科技局农村处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李静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23768052</w:t>
      </w:r>
    </w:p>
    <w:p>
      <w:pPr>
        <w:pStyle w:val="3"/>
        <w:keepNext w:val="0"/>
        <w:keepLines w:val="0"/>
        <w:pageBreakBefore w:val="0"/>
        <w:kinsoku/>
        <w:wordWrap/>
        <w:overflowPunct/>
        <w:topLinePunct w:val="0"/>
        <w:autoSpaceDE/>
        <w:autoSpaceDN/>
        <w:bidi w:val="0"/>
        <w:adjustRightInd/>
        <w:snapToGrid/>
        <w:spacing w:before="0" w:after="0" w:line="560" w:lineRule="exact"/>
        <w:ind w:left="0"/>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rPr>
          <w:rFonts w:hint="eastAsia" w:ascii="仿宋_GB2312" w:hAnsi="仿宋_GB2312" w:eastAsia="仿宋_GB2312" w:cs="仿宋_GB2312"/>
          <w:color w:val="auto"/>
          <w:kern w:val="0"/>
          <w:sz w:val="32"/>
          <w:szCs w:val="32"/>
        </w:rPr>
      </w:pPr>
    </w:p>
    <w:p>
      <w:pPr>
        <w:pStyle w:val="3"/>
        <w:keepNext w:val="0"/>
        <w:keepLines w:val="0"/>
        <w:pageBreakBefore w:val="0"/>
        <w:kinsoku/>
        <w:wordWrap/>
        <w:overflowPunct/>
        <w:topLinePunct w:val="0"/>
        <w:autoSpaceDE/>
        <w:autoSpaceDN/>
        <w:bidi w:val="0"/>
        <w:adjustRightInd/>
        <w:snapToGrid/>
        <w:spacing w:before="0" w:after="0" w:line="560" w:lineRule="exact"/>
        <w:ind w:left="0"/>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rPr>
          <w:rFonts w:hint="eastAsia" w:ascii="仿宋_GB2312" w:hAnsi="仿宋_GB2312" w:eastAsia="仿宋_GB2312" w:cs="仿宋_GB2312"/>
          <w:color w:val="auto"/>
          <w:kern w:val="0"/>
          <w:sz w:val="32"/>
          <w:szCs w:val="32"/>
        </w:rPr>
      </w:pPr>
    </w:p>
    <w:p>
      <w:pPr>
        <w:pStyle w:val="3"/>
        <w:keepNext w:val="0"/>
        <w:keepLines w:val="0"/>
        <w:pageBreakBefore w:val="0"/>
        <w:kinsoku/>
        <w:wordWrap/>
        <w:overflowPunct/>
        <w:topLinePunct w:val="0"/>
        <w:autoSpaceDE/>
        <w:autoSpaceDN/>
        <w:bidi w:val="0"/>
        <w:adjustRightInd/>
        <w:snapToGrid/>
        <w:spacing w:before="0" w:after="0" w:line="560" w:lineRule="exact"/>
        <w:ind w:left="0"/>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rPr>
          <w:rFonts w:hint="eastAsia" w:ascii="仿宋_GB2312" w:hAnsi="仿宋_GB2312" w:eastAsia="仿宋_GB2312" w:cs="仿宋_GB2312"/>
          <w:color w:val="auto"/>
          <w:kern w:val="0"/>
          <w:sz w:val="32"/>
          <w:szCs w:val="32"/>
        </w:rPr>
      </w:pP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C80"/>
    <w:multiLevelType w:val="singleLevel"/>
    <w:tmpl w:val="FFFF1C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E933"/>
    <w:rsid w:val="30111391"/>
    <w:rsid w:val="ADBDF1C8"/>
    <w:rsid w:val="CFFFE933"/>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paragraph" w:styleId="3">
    <w:name w:val="heading 1"/>
    <w:basedOn w:val="1"/>
    <w:next w:val="1"/>
    <w:qFormat/>
    <w:uiPriority w:val="9"/>
    <w:pPr>
      <w:spacing w:line="640" w:lineRule="exact"/>
      <w:ind w:firstLine="632" w:firstLineChars="200"/>
      <w:outlineLvl w:val="0"/>
    </w:pPr>
    <w:rPr>
      <w:rFonts w:ascii="黑体" w:hAnsi="黑体" w:eastAsia="黑体"/>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lock Text"/>
    <w:basedOn w:val="1"/>
    <w:qFormat/>
    <w:uiPriority w:val="0"/>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2024-03-28T18:48:00Z</dcterms:created>
  <dc:creator>wangxue</dc:creator>
  <cp:lastModifiedBy>NTKO</cp:lastModifiedBy>
  <dcterms:modified xsi:type="dcterms:W3CDTF">2024-04-03T01:15:42Z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6A4847B5F820475190D278B6937B192B_13</vt:lpwstr>
  </property>
</Properties>
</file>